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1DC8A" w14:textId="50B7F196" w:rsidR="00E14257" w:rsidRDefault="00BF726D" w:rsidP="00E14257">
      <w:pPr>
        <w:autoSpaceDE w:val="0"/>
        <w:autoSpaceDN w:val="0"/>
        <w:adjustRightInd w:val="0"/>
        <w:jc w:val="both"/>
        <w:rPr>
          <w:rFonts w:eastAsia="Times New Roman" w:cs="Calibri"/>
          <w:bCs/>
          <w:snapToGrid w:val="0"/>
          <w:color w:val="7030A0"/>
        </w:rPr>
      </w:pPr>
      <w:bookmarkStart w:id="0" w:name="_GoBack"/>
      <w:bookmarkEnd w:id="0"/>
      <w:r>
        <w:rPr>
          <w:rFonts w:eastAsia="MS Mincho" w:cstheme="minorHAnsi"/>
          <w:b/>
          <w:bCs/>
          <w:color w:val="7030A0"/>
          <w:sz w:val="28"/>
          <w:szCs w:val="28"/>
        </w:rPr>
        <w:t>Second</w:t>
      </w:r>
      <w:r w:rsidR="00E14257" w:rsidRPr="00E14257">
        <w:rPr>
          <w:rFonts w:eastAsia="MS Mincho" w:cstheme="minorHAnsi"/>
          <w:b/>
          <w:bCs/>
          <w:color w:val="7030A0"/>
          <w:sz w:val="28"/>
          <w:szCs w:val="28"/>
        </w:rPr>
        <w:t xml:space="preserve"> temps, </w:t>
      </w:r>
      <w:r w:rsidR="00E14257" w:rsidRPr="00E14257">
        <w:rPr>
          <w:rFonts w:eastAsia="Times New Roman" w:cs="Calibri"/>
          <w:b/>
          <w:bCs/>
          <w:snapToGrid w:val="0"/>
          <w:color w:val="7030A0"/>
          <w:sz w:val="28"/>
          <w:szCs w:val="28"/>
        </w:rPr>
        <w:t xml:space="preserve">réinvestir les connaissances </w:t>
      </w:r>
      <w:r w:rsidR="00BA163C">
        <w:rPr>
          <w:rFonts w:eastAsia="Times New Roman" w:cs="Calibri"/>
          <w:b/>
          <w:bCs/>
          <w:snapToGrid w:val="0"/>
          <w:color w:val="7030A0"/>
          <w:sz w:val="28"/>
          <w:szCs w:val="28"/>
        </w:rPr>
        <w:t>pour travailler</w:t>
      </w:r>
      <w:r w:rsidR="00E14257" w:rsidRPr="00E14257">
        <w:rPr>
          <w:rFonts w:eastAsia="Times New Roman" w:cs="Calibri"/>
          <w:b/>
          <w:bCs/>
          <w:snapToGrid w:val="0"/>
          <w:color w:val="7030A0"/>
          <w:sz w:val="28"/>
          <w:szCs w:val="28"/>
        </w:rPr>
        <w:t xml:space="preserve"> une capacité (« procéder à l’analyse critique d’un document »)</w:t>
      </w:r>
      <w:r w:rsidR="00E14257" w:rsidRPr="00E14257">
        <w:rPr>
          <w:rFonts w:eastAsia="Times New Roman" w:cs="Calibri"/>
          <w:bCs/>
          <w:snapToGrid w:val="0"/>
          <w:color w:val="7030A0"/>
        </w:rPr>
        <w:t xml:space="preserve"> </w:t>
      </w:r>
    </w:p>
    <w:p w14:paraId="1F7AF5BB" w14:textId="77777777" w:rsidR="00EB1A46" w:rsidRDefault="00EB1A46" w:rsidP="00EB1A46">
      <w:pPr>
        <w:jc w:val="both"/>
        <w:rPr>
          <w:rFonts w:eastAsia="Times New Roman" w:cs="Calibri"/>
          <w:b/>
          <w:snapToGrid w:val="0"/>
          <w:color w:val="7030A0"/>
        </w:rPr>
      </w:pPr>
    </w:p>
    <w:p w14:paraId="5BD0F6BE" w14:textId="609E2825" w:rsidR="00E14257" w:rsidRDefault="00E14257" w:rsidP="00E14257">
      <w:pPr>
        <w:jc w:val="both"/>
        <w:rPr>
          <w:b/>
        </w:rPr>
      </w:pPr>
      <w:r>
        <w:rPr>
          <w:b/>
          <w:u w:val="thick"/>
        </w:rPr>
        <w:t>1</w:t>
      </w:r>
      <w:r>
        <w:rPr>
          <w:b/>
          <w:u w:val="thick"/>
          <w:vertAlign w:val="superscript"/>
        </w:rPr>
        <w:t>er</w:t>
      </w:r>
      <w:r>
        <w:rPr>
          <w:b/>
          <w:u w:val="thick"/>
        </w:rPr>
        <w:t xml:space="preserve"> temps : prendre connaissance du document à analyser </w:t>
      </w:r>
      <w:r w:rsidR="00EB1A46">
        <w:rPr>
          <w:b/>
          <w:u w:val="thick"/>
        </w:rPr>
        <w:t>et de la consigne</w:t>
      </w:r>
    </w:p>
    <w:p w14:paraId="032FF3E1" w14:textId="77777777" w:rsidR="00EB1A46" w:rsidRDefault="00EB1A46" w:rsidP="00E14257">
      <w:pPr>
        <w:rPr>
          <w:rFonts w:eastAsia="MS Mincho" w:cstheme="minorHAnsi"/>
          <w:b/>
          <w:bCs/>
          <w:sz w:val="22"/>
          <w:szCs w:val="22"/>
        </w:rPr>
      </w:pPr>
    </w:p>
    <w:p w14:paraId="1D684654" w14:textId="0D567595" w:rsidR="00BF2FD0" w:rsidRPr="00BF2FD0" w:rsidRDefault="00E14257" w:rsidP="00E14257">
      <w:pPr>
        <w:rPr>
          <w:rFonts w:eastAsia="MS Mincho" w:cstheme="minorHAnsi"/>
          <w:color w:val="0000FF"/>
          <w:u w:val="single"/>
        </w:rPr>
      </w:pPr>
      <w:r w:rsidRPr="00EB1A46">
        <w:rPr>
          <w:rFonts w:eastAsia="MS Mincho" w:cstheme="minorHAnsi"/>
          <w:b/>
          <w:bCs/>
        </w:rPr>
        <w:t xml:space="preserve">Une du </w:t>
      </w:r>
      <w:r w:rsidR="001C665A" w:rsidRPr="001C665A">
        <w:rPr>
          <w:rFonts w:eastAsia="MS Mincho" w:cstheme="minorHAnsi"/>
          <w:b/>
          <w:bCs/>
          <w:i/>
          <w:iCs/>
        </w:rPr>
        <w:t>P</w:t>
      </w:r>
      <w:r w:rsidRPr="001C665A">
        <w:rPr>
          <w:rFonts w:eastAsia="MS Mincho" w:cstheme="minorHAnsi"/>
          <w:b/>
          <w:bCs/>
          <w:i/>
          <w:iCs/>
        </w:rPr>
        <w:t>etit Journal</w:t>
      </w:r>
      <w:r w:rsidRPr="00EB1A46">
        <w:rPr>
          <w:rFonts w:eastAsia="MS Mincho" w:cstheme="minorHAnsi"/>
          <w:b/>
          <w:bCs/>
        </w:rPr>
        <w:t xml:space="preserve">, 13 janvier 1895, La dégradation du capitaine Dreyfus.  </w:t>
      </w:r>
      <w:r w:rsidR="00BF2FD0" w:rsidRPr="00BF2FD0">
        <w:rPr>
          <w:rFonts w:eastAsia="MS Mincho" w:cstheme="minorHAnsi"/>
        </w:rPr>
        <w:t>Elle figure dans votre manuel et sur ce site (pour agrandir l’image si vous souhaitez des détails)</w:t>
      </w:r>
      <w:r w:rsidR="00BF2FD0">
        <w:rPr>
          <w:rFonts w:eastAsia="MS Mincho" w:cstheme="minorHAnsi"/>
          <w:b/>
          <w:bCs/>
        </w:rPr>
        <w:t xml:space="preserve"> </w:t>
      </w:r>
      <w:hyperlink r:id="rId8" w:history="1">
        <w:r w:rsidR="00BF2FD0" w:rsidRPr="008A4ADF">
          <w:rPr>
            <w:rStyle w:val="Lienhypertexte"/>
            <w:rFonts w:eastAsia="MS Mincho" w:cstheme="minorHAnsi"/>
          </w:rPr>
          <w:t>http://expositions.bnf.fr/presse/grand/pre_251.htm</w:t>
        </w:r>
      </w:hyperlink>
      <w:r>
        <w:t xml:space="preserve"> </w:t>
      </w:r>
    </w:p>
    <w:p w14:paraId="01499700" w14:textId="2E76EBB5" w:rsidR="00BF2FD0" w:rsidRDefault="00BF2FD0" w:rsidP="00E14257">
      <w:pPr>
        <w:rPr>
          <w:b/>
        </w:rPr>
      </w:pPr>
    </w:p>
    <w:p w14:paraId="63E064DE" w14:textId="77777777" w:rsidR="00EC2DE7" w:rsidRDefault="00BF35F3" w:rsidP="00E14257">
      <w:pPr>
        <w:rPr>
          <w:b/>
        </w:rPr>
      </w:pPr>
      <w:r>
        <w:rPr>
          <w:b/>
        </w:rPr>
        <w:t>Vous choisissez de traiter la consigne 1</w:t>
      </w:r>
      <w:r w:rsidR="00EC2DE7">
        <w:rPr>
          <w:b/>
        </w:rPr>
        <w:t>, soit avec le parcours a. ou le parcours b.</w:t>
      </w:r>
      <w:r>
        <w:rPr>
          <w:b/>
        </w:rPr>
        <w:t xml:space="preserve"> </w:t>
      </w:r>
    </w:p>
    <w:p w14:paraId="0731163D" w14:textId="77777777" w:rsidR="00EC2DE7" w:rsidRDefault="00BF35F3" w:rsidP="00E14257">
      <w:pPr>
        <w:rPr>
          <w:b/>
        </w:rPr>
      </w:pPr>
      <w:proofErr w:type="gramStart"/>
      <w:r w:rsidRPr="00BF35F3">
        <w:rPr>
          <w:b/>
          <w:u w:val="single"/>
        </w:rPr>
        <w:t>OU</w:t>
      </w:r>
      <w:proofErr w:type="gramEnd"/>
      <w:r>
        <w:rPr>
          <w:b/>
        </w:rPr>
        <w:t xml:space="preserve"> </w:t>
      </w:r>
    </w:p>
    <w:p w14:paraId="233D578C" w14:textId="328A8585" w:rsidR="00BF35F3" w:rsidRDefault="00BF35F3" w:rsidP="00E14257">
      <w:pPr>
        <w:rPr>
          <w:b/>
        </w:rPr>
      </w:pPr>
      <w:proofErr w:type="gramStart"/>
      <w:r>
        <w:rPr>
          <w:b/>
        </w:rPr>
        <w:t>la</w:t>
      </w:r>
      <w:proofErr w:type="gramEnd"/>
      <w:r>
        <w:rPr>
          <w:b/>
        </w:rPr>
        <w:t xml:space="preserve"> consigne 2</w:t>
      </w:r>
    </w:p>
    <w:p w14:paraId="54F589BF" w14:textId="77777777" w:rsidR="00BF35F3" w:rsidRDefault="00BF35F3" w:rsidP="00E14257">
      <w:pPr>
        <w:rPr>
          <w:b/>
        </w:rPr>
      </w:pPr>
    </w:p>
    <w:p w14:paraId="71095B9D" w14:textId="77777777" w:rsidR="00EC2DE7" w:rsidRDefault="00E14257" w:rsidP="00EB1A46">
      <w:pPr>
        <w:pStyle w:val="Paragraphedeliste"/>
        <w:numPr>
          <w:ilvl w:val="0"/>
          <w:numId w:val="5"/>
        </w:numPr>
        <w:rPr>
          <w:bCs/>
        </w:rPr>
      </w:pPr>
      <w:r w:rsidRPr="00EB1A46">
        <w:rPr>
          <w:bCs/>
        </w:rPr>
        <w:t>Consigne </w:t>
      </w:r>
      <w:r w:rsidR="00BF35F3">
        <w:rPr>
          <w:bCs/>
        </w:rPr>
        <w:t>1</w:t>
      </w:r>
    </w:p>
    <w:p w14:paraId="59A9780D" w14:textId="3D341C6F" w:rsidR="00EB1A46" w:rsidRPr="00EC2DE7" w:rsidRDefault="00EC2DE7" w:rsidP="00EC2DE7">
      <w:pPr>
        <w:rPr>
          <w:b/>
          <w:bCs/>
        </w:rPr>
      </w:pPr>
      <w:r w:rsidRPr="00EC2DE7">
        <w:rPr>
          <w:b/>
          <w:bCs/>
        </w:rPr>
        <w:t xml:space="preserve">Parcours </w:t>
      </w:r>
      <w:r>
        <w:rPr>
          <w:b/>
          <w:bCs/>
        </w:rPr>
        <w:t>a.</w:t>
      </w:r>
    </w:p>
    <w:p w14:paraId="3C14B7FD" w14:textId="7121C179" w:rsidR="00E14257" w:rsidRPr="00EC2DE7" w:rsidRDefault="00EB1A46" w:rsidP="00E14257">
      <w:pPr>
        <w:rPr>
          <w:bCs/>
          <w:iCs/>
        </w:rPr>
      </w:pPr>
      <w:r w:rsidRPr="00EC2DE7">
        <w:rPr>
          <w:bCs/>
          <w:iCs/>
        </w:rPr>
        <w:t>Vous</w:t>
      </w:r>
      <w:r w:rsidR="00E14257" w:rsidRPr="00EC2DE7">
        <w:rPr>
          <w:bCs/>
          <w:iCs/>
        </w:rPr>
        <w:t xml:space="preserve"> mettrez en évidence comment et pourquoi </w:t>
      </w:r>
      <w:r w:rsidR="00E14257" w:rsidRPr="00EC2DE7">
        <w:rPr>
          <w:bCs/>
          <w:i/>
        </w:rPr>
        <w:t>Le Petit Journal</w:t>
      </w:r>
      <w:r w:rsidR="00E14257" w:rsidRPr="00EC2DE7">
        <w:rPr>
          <w:bCs/>
          <w:iCs/>
        </w:rPr>
        <w:t xml:space="preserve"> pré</w:t>
      </w:r>
      <w:r w:rsidR="00EC2DE7">
        <w:rPr>
          <w:bCs/>
          <w:iCs/>
        </w:rPr>
        <w:t>sente la dégradation de Dreyfus.</w:t>
      </w:r>
    </w:p>
    <w:p w14:paraId="05904CB9" w14:textId="0BDC0730" w:rsidR="00EC2DE7" w:rsidRDefault="00EC2DE7" w:rsidP="00E14257">
      <w:pPr>
        <w:rPr>
          <w:bCs/>
          <w:i/>
          <w:iCs/>
          <w:u w:val="single"/>
        </w:rPr>
      </w:pPr>
    </w:p>
    <w:p w14:paraId="130C75D6" w14:textId="679040F4" w:rsidR="00EC2DE7" w:rsidRPr="00EC2DE7" w:rsidRDefault="00EC2DE7" w:rsidP="00EC2DE7">
      <w:pPr>
        <w:rPr>
          <w:b/>
        </w:rPr>
      </w:pPr>
      <w:r>
        <w:rPr>
          <w:b/>
        </w:rPr>
        <w:t>Parcours b.</w:t>
      </w:r>
    </w:p>
    <w:p w14:paraId="06729648" w14:textId="1D766106" w:rsidR="00EC2DE7" w:rsidRDefault="00EC2DE7" w:rsidP="00EC2DE7">
      <w:r>
        <w:t xml:space="preserve">a. Vous interprétez la position du </w:t>
      </w:r>
      <w:r w:rsidRPr="00EC2DE7">
        <w:rPr>
          <w:i/>
        </w:rPr>
        <w:t>Petit Journal</w:t>
      </w:r>
      <w:r>
        <w:t xml:space="preserve"> dans l’affaire Dreyfus en vous appuyant sur la description de cette « une ». </w:t>
      </w:r>
    </w:p>
    <w:p w14:paraId="74FC01C6" w14:textId="77777777" w:rsidR="00EC2DE7" w:rsidRDefault="00EC2DE7" w:rsidP="00EC2DE7">
      <w:r>
        <w:t>b. Vous analysez les raisons et les conséquences de cette position à l’aide des informations ci-dessous et de la fiche de cours.</w:t>
      </w:r>
    </w:p>
    <w:p w14:paraId="7A71DFA9" w14:textId="7D9E52C6" w:rsidR="00EB1A46" w:rsidRPr="00EB1A46" w:rsidRDefault="00EB1A46" w:rsidP="00E14257">
      <w:pPr>
        <w:rPr>
          <w:bCs/>
        </w:rPr>
      </w:pPr>
    </w:p>
    <w:p w14:paraId="2C8044D9" w14:textId="69524676" w:rsidR="00EB1A46" w:rsidRPr="00EB1A46" w:rsidRDefault="00EB1A46" w:rsidP="00EB1A46">
      <w:pPr>
        <w:pStyle w:val="Paragraphedeliste"/>
        <w:numPr>
          <w:ilvl w:val="0"/>
          <w:numId w:val="5"/>
        </w:numPr>
        <w:rPr>
          <w:bCs/>
        </w:rPr>
      </w:pPr>
      <w:r w:rsidRPr="00EB1A46">
        <w:rPr>
          <w:bCs/>
        </w:rPr>
        <w:t>Consigne </w:t>
      </w:r>
      <w:r w:rsidR="00691512">
        <w:rPr>
          <w:bCs/>
        </w:rPr>
        <w:t>2</w:t>
      </w:r>
    </w:p>
    <w:p w14:paraId="04709764" w14:textId="3427B8F4" w:rsidR="00993364" w:rsidRPr="00EC2DE7" w:rsidRDefault="00993364" w:rsidP="00EB1A46">
      <w:pPr>
        <w:rPr>
          <w:bCs/>
          <w:iCs/>
        </w:rPr>
      </w:pPr>
      <w:r w:rsidRPr="00EC2DE7">
        <w:rPr>
          <w:bCs/>
          <w:iCs/>
        </w:rPr>
        <w:t xml:space="preserve">Rédigez une introduction de </w:t>
      </w:r>
      <w:r w:rsidR="001C665A" w:rsidRPr="00EC2DE7">
        <w:rPr>
          <w:bCs/>
          <w:iCs/>
        </w:rPr>
        <w:t xml:space="preserve">l’étude critique de </w:t>
      </w:r>
      <w:r w:rsidRPr="00EC2DE7">
        <w:rPr>
          <w:bCs/>
          <w:iCs/>
        </w:rPr>
        <w:t xml:space="preserve">ce document </w:t>
      </w:r>
    </w:p>
    <w:p w14:paraId="08969F92" w14:textId="77777777" w:rsidR="00EB1A46" w:rsidRDefault="00EB1A46" w:rsidP="00EB1A46">
      <w:pPr>
        <w:jc w:val="both"/>
        <w:rPr>
          <w:bCs/>
        </w:rPr>
      </w:pPr>
    </w:p>
    <w:p w14:paraId="540FB7B5" w14:textId="77777777" w:rsidR="00EB1A46" w:rsidRDefault="00EB1A46" w:rsidP="00EB1A46">
      <w:pPr>
        <w:jc w:val="both"/>
        <w:rPr>
          <w:rFonts w:eastAsia="Times New Roman" w:cs="Calibri"/>
          <w:b/>
          <w:snapToGrid w:val="0"/>
          <w:sz w:val="28"/>
          <w:szCs w:val="28"/>
        </w:rPr>
      </w:pPr>
    </w:p>
    <w:p w14:paraId="0261A62A" w14:textId="36A8723C" w:rsidR="00E14257" w:rsidRDefault="00E14257" w:rsidP="00E14257">
      <w:pPr>
        <w:rPr>
          <w:b/>
          <w:u w:val="thick"/>
        </w:rPr>
      </w:pPr>
      <w:r>
        <w:rPr>
          <w:b/>
          <w:u w:val="thick"/>
        </w:rPr>
        <w:t>2</w:t>
      </w:r>
      <w:r>
        <w:rPr>
          <w:b/>
          <w:u w:val="thick"/>
          <w:vertAlign w:val="superscript"/>
        </w:rPr>
        <w:t>ème</w:t>
      </w:r>
      <w:r>
        <w:rPr>
          <w:b/>
          <w:u w:val="thick"/>
        </w:rPr>
        <w:t xml:space="preserve"> temps : lire les informations ci-dessous, nécessaires pour l’analyse du document.</w:t>
      </w:r>
    </w:p>
    <w:p w14:paraId="7733478D" w14:textId="432B507C" w:rsidR="009A4109" w:rsidRPr="00BF35F3" w:rsidRDefault="009A4109" w:rsidP="00E14257">
      <w:pPr>
        <w:rPr>
          <w:b/>
        </w:rPr>
      </w:pPr>
      <w:r w:rsidRPr="00BF35F3">
        <w:rPr>
          <w:b/>
        </w:rPr>
        <w:t>Attention – personne ne vous demande de mémoriser tout cela</w:t>
      </w:r>
      <w:r w:rsidR="00BF35F3" w:rsidRPr="00BF35F3">
        <w:rPr>
          <w:b/>
        </w:rPr>
        <w:t>. Il faut des connaissances pour bien mener une étude de document : toutes les connaissances nécessaires – et même plus – sont dans ce résumé que j’ai rédigé</w:t>
      </w:r>
      <w:r w:rsidR="00BF35F3">
        <w:rPr>
          <w:b/>
        </w:rPr>
        <w:t>. Vous pouvez souligner et surligner des passages ou écrire dans la marge.</w:t>
      </w:r>
    </w:p>
    <w:p w14:paraId="77304610" w14:textId="7FF1D834" w:rsidR="00E14257" w:rsidRDefault="00E14257" w:rsidP="00C4183F">
      <w:pPr>
        <w:ind w:firstLine="708"/>
        <w:rPr>
          <w:rFonts w:eastAsia="MS Mincho" w:cstheme="minorHAnsi"/>
        </w:rPr>
      </w:pPr>
      <w:r>
        <w:rPr>
          <w:rFonts w:eastAsia="MS Mincho" w:cstheme="minorHAnsi"/>
        </w:rPr>
        <w:t>Le</w:t>
      </w:r>
      <w:r>
        <w:rPr>
          <w:rFonts w:eastAsia="MS Mincho" w:cstheme="minorHAnsi"/>
          <w:i/>
          <w:iCs/>
        </w:rPr>
        <w:t xml:space="preserve"> Petit Journal</w:t>
      </w:r>
      <w:r>
        <w:rPr>
          <w:rFonts w:eastAsia="MS Mincho" w:cstheme="minorHAnsi"/>
        </w:rPr>
        <w:t xml:space="preserve"> est un quotidien parisien républicain et conservateur, qui paraît de 1863 à 1944. L'audience du journal ne cesse d'augmenter, il revendique un million de lecteurs en 1895, même si ce chiffre est très certainement exagéré (ne serait-ce que pour facturer plus cher sa réclame</w:t>
      </w:r>
      <w:r w:rsidR="0047791C">
        <w:rPr>
          <w:rStyle w:val="Appeldenotedefin"/>
          <w:rFonts w:eastAsia="MS Mincho" w:cstheme="minorHAnsi"/>
        </w:rPr>
        <w:endnoteReference w:id="1"/>
      </w:r>
      <w:r>
        <w:rPr>
          <w:rFonts w:eastAsia="MS Mincho" w:cstheme="minorHAnsi"/>
        </w:rPr>
        <w:t xml:space="preserve">). </w:t>
      </w:r>
      <w:r>
        <w:rPr>
          <w:rFonts w:eastAsia="MS Mincho" w:cstheme="minorHAnsi"/>
          <w:i/>
          <w:iCs/>
        </w:rPr>
        <w:t>Le Petit Journal</w:t>
      </w:r>
      <w:r>
        <w:rPr>
          <w:rFonts w:eastAsia="MS Mincho" w:cstheme="minorHAnsi"/>
        </w:rPr>
        <w:t xml:space="preserve"> est bon marché (cinq centimes, ou un sou), il a un format commode, car </w:t>
      </w:r>
      <w:r w:rsidR="00BF35F3">
        <w:rPr>
          <w:rFonts w:eastAsia="MS Mincho" w:cstheme="minorHAnsi"/>
        </w:rPr>
        <w:t xml:space="preserve">il est </w:t>
      </w:r>
      <w:r>
        <w:rPr>
          <w:rFonts w:eastAsia="MS Mincho" w:cstheme="minorHAnsi"/>
        </w:rPr>
        <w:t>plus petit que ses concurrents</w:t>
      </w:r>
      <w:r w:rsidR="00BF35F3">
        <w:rPr>
          <w:rFonts w:eastAsia="MS Mincho" w:cstheme="minorHAnsi"/>
        </w:rPr>
        <w:t>,</w:t>
      </w:r>
      <w:r>
        <w:rPr>
          <w:rFonts w:eastAsia="MS Mincho" w:cstheme="minorHAnsi"/>
        </w:rPr>
        <w:t xml:space="preserve"> d'où son nom</w:t>
      </w:r>
      <w:r w:rsidR="00BF35F3">
        <w:rPr>
          <w:rFonts w:eastAsia="MS Mincho" w:cstheme="minorHAnsi"/>
        </w:rPr>
        <w:t>. Il</w:t>
      </w:r>
      <w:r>
        <w:rPr>
          <w:rFonts w:eastAsia="MS Mincho" w:cstheme="minorHAnsi"/>
        </w:rPr>
        <w:t xml:space="preserve"> propose un contenu varié (information nationale et internationale, mais aussi contenu distrayant comprenant faits divers, feuilletons, horoscopes...). Il s'agit en outre d'un journal du soir, vendu par des crieurs à la sortie des usines et des ateliers, et qui </w:t>
      </w:r>
      <w:r w:rsidR="00BF35F3">
        <w:rPr>
          <w:rFonts w:eastAsia="MS Mincho" w:cstheme="minorHAnsi"/>
        </w:rPr>
        <w:t xml:space="preserve">se </w:t>
      </w:r>
      <w:r>
        <w:rPr>
          <w:rFonts w:eastAsia="MS Mincho" w:cstheme="minorHAnsi"/>
        </w:rPr>
        <w:t xml:space="preserve">vend dans toute la </w:t>
      </w:r>
      <w:r w:rsidR="00BF35F3">
        <w:rPr>
          <w:rFonts w:eastAsia="MS Mincho" w:cstheme="minorHAnsi"/>
        </w:rPr>
        <w:t>France. Il</w:t>
      </w:r>
      <w:r>
        <w:rPr>
          <w:rFonts w:eastAsia="MS Mincho" w:cstheme="minorHAnsi"/>
        </w:rPr>
        <w:t xml:space="preserve"> ne fonctionne pas avec des abonnements : il est dépendant de ses ventes directes, chaque jour. Cela implique une ligne éditoriale particulière : il faut chaque jour un fait accrocheur pour vendre, avec des faits divers racontés par exemple comme de vrais feuilletons.  Il tire profit des lois sur la presse et de l’alphabétisation de plus en plus importante, liée en particulier à la généralisation de l’enseignement primaire. Son déclin commence dès avant 1914, entre autres car ses lecteurs lui reprocheront sa défense du parti antidreyfusard (son concurrent </w:t>
      </w:r>
      <w:r>
        <w:rPr>
          <w:rFonts w:eastAsia="MS Mincho" w:cstheme="minorHAnsi"/>
          <w:i/>
          <w:iCs/>
        </w:rPr>
        <w:t>Le Petit Parisien</w:t>
      </w:r>
      <w:r>
        <w:rPr>
          <w:rFonts w:eastAsia="MS Mincho" w:cstheme="minorHAnsi"/>
        </w:rPr>
        <w:t xml:space="preserve"> a évité de prendre parti dans l'affaire Dreyfus). Il lance dans les années 1890 un « supplément illustré », qui parait une fois par semaine, le dimanche. Cette formule séduit d’autres journaux qui la reprennent, elle doit </w:t>
      </w:r>
      <w:r>
        <w:rPr>
          <w:rFonts w:eastAsia="MS Mincho" w:cstheme="minorHAnsi"/>
        </w:rPr>
        <w:lastRenderedPageBreak/>
        <w:t>avoir une visée distrayante importante, sa lecture doit être un loisir. Cela a une influence sur le choix des sujets et des couvertures, qui bénéficient des innovations qui permettent désormais de publier en couleurs.</w:t>
      </w:r>
    </w:p>
    <w:p w14:paraId="11FCDC7B" w14:textId="77777777" w:rsidR="00E14257" w:rsidRDefault="00E14257" w:rsidP="00C4183F">
      <w:pPr>
        <w:ind w:firstLine="708"/>
        <w:rPr>
          <w:rFonts w:eastAsia="MS Mincho" w:cstheme="minorHAnsi"/>
        </w:rPr>
      </w:pPr>
      <w:r>
        <w:rPr>
          <w:rFonts w:eastAsia="MS Mincho" w:cstheme="minorHAnsi"/>
        </w:rPr>
        <w:t xml:space="preserve">Le 22 décembre 1894, Alfred Dreyfus est condamné à l’unanimité des juges pour intelligence avec une puissance étrangère à la peine maximale applicable, la déportation perpétuelle dans une enceinte fortifiée, ainsi qu'à la destitution de son grade et à la dégradation militaire. Dreyfus n'est pas condamné à mort, celle-ci ayant été abolie pour les crimes politiques depuis 1848. </w:t>
      </w:r>
    </w:p>
    <w:p w14:paraId="2CA312A8" w14:textId="3632E501" w:rsidR="00E14257" w:rsidRDefault="00E14257" w:rsidP="00C4183F">
      <w:pPr>
        <w:ind w:firstLine="708"/>
        <w:rPr>
          <w:rFonts w:eastAsia="MS Mincho" w:cstheme="minorHAnsi"/>
        </w:rPr>
      </w:pPr>
      <w:r>
        <w:rPr>
          <w:rFonts w:eastAsia="MS Mincho" w:cstheme="minorHAnsi"/>
        </w:rPr>
        <w:t xml:space="preserve">La cérémonie militaire de la dégradation est organisée dans la foulée du verdict, le 5 janvier 1895, à l'École militaire à Paris où quatre mille soldats formés en carré entourent le </w:t>
      </w:r>
      <w:r w:rsidR="002621BC">
        <w:rPr>
          <w:rFonts w:eastAsia="MS Mincho" w:cstheme="minorHAnsi"/>
        </w:rPr>
        <w:t>« </w:t>
      </w:r>
      <w:r>
        <w:rPr>
          <w:rFonts w:eastAsia="MS Mincho" w:cstheme="minorHAnsi"/>
        </w:rPr>
        <w:t>traître ». Une place est réservée aux journalistes, car la cérémonie de dégradation (où Dreyfus est chassé symboliquement de l’armée) est publique. La foule est venue massivement, mais elle assiste à la dégradation en dehors de l’École militaire, derrière les grilles, voire à partir des immeubles avoisinants ou parfois sur des toits. Cette foule scande régulièrement des slogans suivants : « à mort ! », « à mort l’espion </w:t>
      </w:r>
      <w:proofErr w:type="gramStart"/>
      <w:r>
        <w:rPr>
          <w:rFonts w:eastAsia="MS Mincho" w:cstheme="minorHAnsi"/>
        </w:rPr>
        <w:t>!»</w:t>
      </w:r>
      <w:proofErr w:type="gramEnd"/>
      <w:r>
        <w:rPr>
          <w:rFonts w:eastAsia="MS Mincho" w:cstheme="minorHAnsi"/>
        </w:rPr>
        <w:t>, « vendu le traitre ! ».  Dreyfus est accompagné par quatre artilleurs qui l'amènent devant un huissier qui lui lit le jugement. Le général présidant la cérémonie ordonne la dégradation de Dreyfus « jugé indigne de porter les armes ».  Un adjudant de la Garde républicaine lui arrache les insignes, ses galons d’officier, jette à terre son képi, casse son épée en deux. La dégradation est associée à la stigmatisation et à la disgrâce, pour montrer que le condamné est estimé indigne des privilèges</w:t>
      </w:r>
      <w:r w:rsidR="000C71BD">
        <w:rPr>
          <w:rFonts w:eastAsia="MS Mincho" w:cstheme="minorHAnsi"/>
        </w:rPr>
        <w:t xml:space="preserve"> et de l’autorité</w:t>
      </w:r>
      <w:r>
        <w:rPr>
          <w:rFonts w:eastAsia="MS Mincho" w:cstheme="minorHAnsi"/>
        </w:rPr>
        <w:t xml:space="preserve"> dont il jouissait avec sa fonction. </w:t>
      </w:r>
    </w:p>
    <w:p w14:paraId="070F84D0" w14:textId="77777777" w:rsidR="00E14257" w:rsidRDefault="00E14257" w:rsidP="00C4183F">
      <w:pPr>
        <w:ind w:firstLine="708"/>
        <w:rPr>
          <w:rFonts w:eastAsia="MS Mincho" w:cstheme="minorHAnsi"/>
        </w:rPr>
      </w:pPr>
      <w:r>
        <w:rPr>
          <w:rFonts w:eastAsia="MS Mincho" w:cstheme="minorHAnsi"/>
        </w:rPr>
        <w:t xml:space="preserve">Des témoins signalent la dignité de Dreyfus, qui continue de clamer son innocence, et ce à plusieurs reprises, en levant parfois les bras : « Soldats, on dégrade un innocent, soldats on déshonore un innocent. Vive la France ! Vive l'armée ! ». Il passe devant les troupes dignement après sa dégradation pour rejoindre un fourgon cellulaire qui le ramène en prison. L’ensemble de la cérémonie dure à peine une demi-heure, dans un froid glacial, et Dreyfus quitte l’École militaire sous les huées de la foule qui réclame à nouveau sa mort.  </w:t>
      </w:r>
    </w:p>
    <w:p w14:paraId="7966C180" w14:textId="77777777" w:rsidR="00E14257" w:rsidRDefault="00E14257" w:rsidP="00E14257">
      <w:pPr>
        <w:jc w:val="both"/>
        <w:rPr>
          <w:rFonts w:eastAsia="Times New Roman" w:cstheme="minorHAnsi"/>
          <w:b/>
          <w:snapToGrid w:val="0"/>
          <w:color w:val="7030A0"/>
        </w:rPr>
      </w:pPr>
    </w:p>
    <w:p w14:paraId="761A5690" w14:textId="1C27B30C" w:rsidR="00E14257" w:rsidRDefault="00E14257" w:rsidP="00E14257">
      <w:pPr>
        <w:rPr>
          <w:b/>
          <w:u w:val="thick"/>
        </w:rPr>
      </w:pPr>
      <w:r>
        <w:rPr>
          <w:b/>
          <w:u w:val="thick"/>
        </w:rPr>
        <w:t>3</w:t>
      </w:r>
      <w:r>
        <w:rPr>
          <w:b/>
          <w:u w:val="thick"/>
          <w:vertAlign w:val="superscript"/>
        </w:rPr>
        <w:t>ème</w:t>
      </w:r>
      <w:r>
        <w:rPr>
          <w:b/>
          <w:u w:val="thick"/>
        </w:rPr>
        <w:t xml:space="preserve"> temps : rédaction </w:t>
      </w:r>
      <w:r w:rsidR="00962D2E">
        <w:rPr>
          <w:b/>
          <w:u w:val="thick"/>
        </w:rPr>
        <w:t>à rendre</w:t>
      </w:r>
      <w:r>
        <w:rPr>
          <w:b/>
          <w:u w:val="thick"/>
        </w:rPr>
        <w:t xml:space="preserve"> </w:t>
      </w:r>
    </w:p>
    <w:p w14:paraId="10AF210B" w14:textId="77777777" w:rsidR="002D2951" w:rsidRDefault="00E14257" w:rsidP="00C4183F">
      <w:pPr>
        <w:rPr>
          <w:bCs/>
        </w:rPr>
      </w:pPr>
      <w:r>
        <w:rPr>
          <w:bCs/>
        </w:rPr>
        <w:t>Attention à bien mobiliser des connaissances ci-dessus, mais aussi celles issues du cours, y compris sur la première partie</w:t>
      </w:r>
    </w:p>
    <w:p w14:paraId="718D5AEC" w14:textId="3A0C9E5D" w:rsidR="00E14257" w:rsidRDefault="00E14257" w:rsidP="009C3266">
      <w:pPr>
        <w:jc w:val="both"/>
        <w:rPr>
          <w:rFonts w:eastAsia="Times New Roman" w:cs="Calibri"/>
          <w:b/>
          <w:snapToGrid w:val="0"/>
          <w:sz w:val="28"/>
          <w:szCs w:val="28"/>
        </w:rPr>
      </w:pPr>
    </w:p>
    <w:p w14:paraId="112428CF" w14:textId="5A399CEB" w:rsidR="00962D2E" w:rsidRDefault="00EC2DE7" w:rsidP="009C3266">
      <w:pPr>
        <w:jc w:val="both"/>
        <w:rPr>
          <w:rFonts w:eastAsia="Times New Roman" w:cs="Calibri"/>
          <w:bCs/>
          <w:snapToGrid w:val="0"/>
        </w:rPr>
      </w:pPr>
      <w:r>
        <w:rPr>
          <w:rFonts w:eastAsia="Times New Roman" w:cs="Calibri"/>
          <w:b/>
          <w:snapToGrid w:val="0"/>
        </w:rPr>
        <w:t xml:space="preserve">Consigne </w:t>
      </w:r>
      <w:r w:rsidR="00962D2E" w:rsidRPr="00962D2E">
        <w:rPr>
          <w:rFonts w:eastAsia="Times New Roman" w:cs="Calibri"/>
          <w:b/>
          <w:snapToGrid w:val="0"/>
        </w:rPr>
        <w:t>1</w:t>
      </w:r>
      <w:r w:rsidR="00962D2E" w:rsidRPr="00962D2E">
        <w:rPr>
          <w:rFonts w:eastAsia="Times New Roman" w:cs="Calibri"/>
          <w:bCs/>
          <w:snapToGrid w:val="0"/>
        </w:rPr>
        <w:t xml:space="preserve"> – Répondez de façon rédigée</w:t>
      </w:r>
      <w:r>
        <w:rPr>
          <w:rFonts w:eastAsia="Times New Roman" w:cs="Calibri"/>
          <w:bCs/>
          <w:snapToGrid w:val="0"/>
        </w:rPr>
        <w:t>, pour chaque parcours choisi</w:t>
      </w:r>
      <w:r w:rsidR="00962D2E" w:rsidRPr="00962D2E">
        <w:rPr>
          <w:rFonts w:eastAsia="Times New Roman" w:cs="Calibri"/>
          <w:bCs/>
          <w:snapToGrid w:val="0"/>
        </w:rPr>
        <w:t>, en revenant à la ligne pour avoir différents paragraphe</w:t>
      </w:r>
      <w:r w:rsidR="00C31E3C">
        <w:rPr>
          <w:rFonts w:eastAsia="Times New Roman" w:cs="Calibri"/>
          <w:bCs/>
          <w:snapToGrid w:val="0"/>
        </w:rPr>
        <w:t>s</w:t>
      </w:r>
      <w:r w:rsidR="00962D2E">
        <w:rPr>
          <w:rFonts w:eastAsia="Times New Roman" w:cs="Calibri"/>
          <w:bCs/>
          <w:snapToGrid w:val="0"/>
        </w:rPr>
        <w:t>.</w:t>
      </w:r>
    </w:p>
    <w:p w14:paraId="45370C18" w14:textId="6BD7C005" w:rsidR="00962D2E" w:rsidRDefault="00962D2E" w:rsidP="009C3266">
      <w:pPr>
        <w:jc w:val="both"/>
        <w:rPr>
          <w:rFonts w:eastAsia="Times New Roman" w:cs="Calibri"/>
          <w:bCs/>
          <w:snapToGrid w:val="0"/>
        </w:rPr>
      </w:pPr>
    </w:p>
    <w:p w14:paraId="50C7A957" w14:textId="78567DF1" w:rsidR="00962D2E" w:rsidRDefault="00EC2DE7" w:rsidP="009C3266">
      <w:pPr>
        <w:jc w:val="both"/>
        <w:rPr>
          <w:rFonts w:eastAsia="Times New Roman" w:cs="Calibri"/>
          <w:bCs/>
          <w:snapToGrid w:val="0"/>
        </w:rPr>
      </w:pPr>
      <w:r>
        <w:rPr>
          <w:rFonts w:eastAsia="Times New Roman" w:cs="Calibri"/>
          <w:b/>
          <w:snapToGrid w:val="0"/>
        </w:rPr>
        <w:t>Consigne</w:t>
      </w:r>
      <w:r w:rsidR="00962D2E" w:rsidRPr="005A3CD7">
        <w:rPr>
          <w:rFonts w:eastAsia="Times New Roman" w:cs="Calibri"/>
          <w:b/>
          <w:snapToGrid w:val="0"/>
        </w:rPr>
        <w:t xml:space="preserve"> 2</w:t>
      </w:r>
      <w:r w:rsidR="00962D2E">
        <w:rPr>
          <w:rFonts w:eastAsia="Times New Roman" w:cs="Calibri"/>
          <w:bCs/>
          <w:snapToGrid w:val="0"/>
        </w:rPr>
        <w:t xml:space="preserve"> – Introduisez l’étude critique. </w:t>
      </w:r>
      <w:r w:rsidR="00D42233">
        <w:rPr>
          <w:rFonts w:eastAsia="Times New Roman" w:cs="Calibri"/>
          <w:bCs/>
          <w:snapToGrid w:val="0"/>
        </w:rPr>
        <w:t xml:space="preserve">Cette introduction </w:t>
      </w:r>
      <w:r w:rsidR="00962D2E">
        <w:rPr>
          <w:rFonts w:eastAsia="Times New Roman" w:cs="Calibri"/>
          <w:bCs/>
          <w:snapToGrid w:val="0"/>
        </w:rPr>
        <w:t>doit être entièrement rédigée, pas sous forme de tirets et avec des phrases complètes.</w:t>
      </w:r>
      <w:r w:rsidR="005A3CD7">
        <w:rPr>
          <w:rFonts w:eastAsia="Times New Roman" w:cs="Calibri"/>
          <w:bCs/>
          <w:snapToGrid w:val="0"/>
        </w:rPr>
        <w:t xml:space="preserve"> Elle doit utiliser le document et le cours ci-dessus</w:t>
      </w:r>
    </w:p>
    <w:p w14:paraId="4EEE6EB6" w14:textId="24F56578" w:rsidR="00962D2E" w:rsidRDefault="00962D2E" w:rsidP="009C3266">
      <w:pPr>
        <w:jc w:val="both"/>
        <w:rPr>
          <w:rFonts w:eastAsia="Times New Roman" w:cs="Calibri"/>
          <w:bCs/>
          <w:snapToGrid w:val="0"/>
        </w:rPr>
      </w:pPr>
      <w:r>
        <w:rPr>
          <w:rFonts w:eastAsia="Times New Roman" w:cs="Calibri"/>
          <w:bCs/>
          <w:snapToGrid w:val="0"/>
        </w:rPr>
        <w:t>Aide</w:t>
      </w:r>
      <w:r w:rsidR="00EC2DE7">
        <w:rPr>
          <w:rFonts w:eastAsia="Times New Roman" w:cs="Calibri"/>
          <w:bCs/>
          <w:snapToGrid w:val="0"/>
        </w:rPr>
        <w:t> : i</w:t>
      </w:r>
      <w:r>
        <w:rPr>
          <w:rFonts w:eastAsia="Times New Roman" w:cs="Calibri"/>
          <w:bCs/>
          <w:snapToGrid w:val="0"/>
        </w:rPr>
        <w:t>ntroduire l’étude, cela signifie répondre à ces questions</w:t>
      </w:r>
      <w:r w:rsidR="005A3CD7">
        <w:rPr>
          <w:rFonts w:eastAsia="Times New Roman" w:cs="Calibri"/>
          <w:bCs/>
          <w:snapToGrid w:val="0"/>
        </w:rPr>
        <w:t xml:space="preserve">, </w:t>
      </w:r>
      <w:r w:rsidR="005A3CD7" w:rsidRPr="005A3CD7">
        <w:rPr>
          <w:rFonts w:eastAsia="Times New Roman" w:cs="Calibri"/>
          <w:b/>
          <w:snapToGrid w:val="0"/>
        </w:rPr>
        <w:t>de façon rédigée</w:t>
      </w:r>
      <w:r>
        <w:rPr>
          <w:rFonts w:eastAsia="Times New Roman" w:cs="Calibri"/>
          <w:bCs/>
          <w:snapToGrid w:val="0"/>
        </w:rPr>
        <w:t> :</w:t>
      </w:r>
    </w:p>
    <w:p w14:paraId="1178393C" w14:textId="1B831334" w:rsidR="00962D2E" w:rsidRDefault="00962D2E" w:rsidP="00962D2E">
      <w:pPr>
        <w:pStyle w:val="Paragraphedeliste"/>
        <w:numPr>
          <w:ilvl w:val="0"/>
          <w:numId w:val="6"/>
        </w:numPr>
        <w:jc w:val="both"/>
        <w:rPr>
          <w:rFonts w:eastAsia="Times New Roman" w:cs="Calibri"/>
          <w:bCs/>
          <w:snapToGrid w:val="0"/>
        </w:rPr>
      </w:pPr>
      <w:r>
        <w:rPr>
          <w:rFonts w:eastAsia="Times New Roman" w:cs="Calibri"/>
          <w:bCs/>
          <w:snapToGrid w:val="0"/>
        </w:rPr>
        <w:t>Qu’est-ce que ce document, précisément ? Recopier le titre du document ne suffit pas.</w:t>
      </w:r>
    </w:p>
    <w:p w14:paraId="41436354" w14:textId="12683567" w:rsidR="00962D2E" w:rsidRDefault="00962D2E" w:rsidP="00962D2E">
      <w:pPr>
        <w:pStyle w:val="Paragraphedeliste"/>
        <w:numPr>
          <w:ilvl w:val="0"/>
          <w:numId w:val="6"/>
        </w:numPr>
        <w:jc w:val="both"/>
        <w:rPr>
          <w:rFonts w:eastAsia="Times New Roman" w:cs="Calibri"/>
          <w:bCs/>
          <w:snapToGrid w:val="0"/>
        </w:rPr>
      </w:pPr>
      <w:r>
        <w:rPr>
          <w:rFonts w:eastAsia="Times New Roman" w:cs="Calibri"/>
          <w:bCs/>
          <w:snapToGrid w:val="0"/>
        </w:rPr>
        <w:t xml:space="preserve">Pourquoi </w:t>
      </w:r>
      <w:proofErr w:type="spellStart"/>
      <w:r>
        <w:rPr>
          <w:rFonts w:eastAsia="Times New Roman" w:cs="Calibri"/>
          <w:bCs/>
          <w:snapToGrid w:val="0"/>
        </w:rPr>
        <w:t>a-t-il</w:t>
      </w:r>
      <w:proofErr w:type="spellEnd"/>
      <w:r>
        <w:rPr>
          <w:rFonts w:eastAsia="Times New Roman" w:cs="Calibri"/>
          <w:bCs/>
          <w:snapToGrid w:val="0"/>
        </w:rPr>
        <w:t xml:space="preserve"> été produit ? Pour qui ?</w:t>
      </w:r>
    </w:p>
    <w:p w14:paraId="42D57727" w14:textId="0D963F1A" w:rsidR="00962D2E" w:rsidRDefault="00962D2E" w:rsidP="00962D2E">
      <w:pPr>
        <w:pStyle w:val="Paragraphedeliste"/>
        <w:numPr>
          <w:ilvl w:val="0"/>
          <w:numId w:val="6"/>
        </w:numPr>
        <w:jc w:val="both"/>
        <w:rPr>
          <w:rFonts w:eastAsia="Times New Roman" w:cs="Calibri"/>
          <w:bCs/>
          <w:snapToGrid w:val="0"/>
        </w:rPr>
      </w:pPr>
      <w:r>
        <w:rPr>
          <w:rFonts w:eastAsia="Times New Roman" w:cs="Calibri"/>
          <w:bCs/>
          <w:snapToGrid w:val="0"/>
        </w:rPr>
        <w:t>Quel est le contexte, c’est-à-dire, de quoi parle ce document historiquement, pourquoi parle-t-il de cela à ce moment ?</w:t>
      </w:r>
      <w:r w:rsidR="005A3CD7">
        <w:rPr>
          <w:rFonts w:eastAsia="Times New Roman" w:cs="Calibri"/>
          <w:bCs/>
          <w:snapToGrid w:val="0"/>
        </w:rPr>
        <w:t xml:space="preserve"> Est-ce que ce qui est traité dans ce document est important à ce moment-là ?</w:t>
      </w:r>
    </w:p>
    <w:p w14:paraId="21BB988A" w14:textId="4C2C7692" w:rsidR="00962D2E" w:rsidRPr="00962D2E" w:rsidRDefault="005A3CD7" w:rsidP="00962D2E">
      <w:pPr>
        <w:pStyle w:val="Paragraphedeliste"/>
        <w:numPr>
          <w:ilvl w:val="0"/>
          <w:numId w:val="6"/>
        </w:numPr>
        <w:jc w:val="both"/>
        <w:rPr>
          <w:rFonts w:eastAsia="Times New Roman" w:cs="Calibri"/>
          <w:bCs/>
          <w:snapToGrid w:val="0"/>
        </w:rPr>
      </w:pPr>
      <w:r>
        <w:rPr>
          <w:rFonts w:eastAsia="Times New Roman" w:cs="Calibri"/>
          <w:bCs/>
          <w:snapToGrid w:val="0"/>
        </w:rPr>
        <w:t>Quels grands thèmes va traiter votre étude critique ensuite (= annonce du plan) ?</w:t>
      </w:r>
    </w:p>
    <w:p w14:paraId="07AF7CFC" w14:textId="77777777" w:rsidR="00962D2E" w:rsidRDefault="00962D2E" w:rsidP="009C3266">
      <w:pPr>
        <w:jc w:val="both"/>
        <w:rPr>
          <w:rFonts w:eastAsia="Times New Roman" w:cs="Calibri"/>
          <w:b/>
          <w:snapToGrid w:val="0"/>
          <w:sz w:val="28"/>
          <w:szCs w:val="28"/>
        </w:rPr>
      </w:pPr>
    </w:p>
    <w:sectPr w:rsidR="00962D2E" w:rsidSect="00FA3BC9">
      <w:headerReference w:type="even" r:id="rId9"/>
      <w:headerReference w:type="default" r:id="rId10"/>
      <w:headerReference w:type="first" r:id="rId11"/>
      <w:pgSz w:w="11906" w:h="16838"/>
      <w:pgMar w:top="1021" w:right="1418" w:bottom="102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1D682" w16cid:durableId="22359E46"/>
  <w16cid:commentId w16cid:paraId="4BA30E72" w16cid:durableId="22359F3A"/>
  <w16cid:commentId w16cid:paraId="09F68C18" w16cid:durableId="22359E47"/>
  <w16cid:commentId w16cid:paraId="56990757" w16cid:durableId="22359E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C4652" w14:textId="77777777" w:rsidR="00F44D1A" w:rsidRDefault="00F44D1A" w:rsidP="00BF35F3">
      <w:r>
        <w:separator/>
      </w:r>
    </w:p>
  </w:endnote>
  <w:endnote w:type="continuationSeparator" w:id="0">
    <w:p w14:paraId="18115CB9" w14:textId="77777777" w:rsidR="00F44D1A" w:rsidRDefault="00F44D1A" w:rsidP="00BF35F3">
      <w:r>
        <w:continuationSeparator/>
      </w:r>
    </w:p>
  </w:endnote>
  <w:endnote w:id="1">
    <w:p w14:paraId="7C0038E6" w14:textId="7EAB46C4" w:rsidR="0047791C" w:rsidRDefault="0047791C">
      <w:pPr>
        <w:pStyle w:val="Notedefin"/>
      </w:pPr>
      <w:r>
        <w:rPr>
          <w:rStyle w:val="Appeldenotedefin"/>
        </w:rPr>
        <w:endnoteRef/>
      </w:r>
      <w:r>
        <w:t xml:space="preserve"> </w:t>
      </w:r>
      <w:r w:rsidR="00EC2DE7">
        <w:t>Le terme est expliqué dans la fiche de</w:t>
      </w:r>
      <w:r>
        <w:t xml:space="preserve"> cours. Vous pouvez vous y référer si vous avez oublié sa signification.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51CA" w14:textId="77777777" w:rsidR="00F44D1A" w:rsidRDefault="00F44D1A" w:rsidP="00BF35F3">
      <w:r>
        <w:separator/>
      </w:r>
    </w:p>
  </w:footnote>
  <w:footnote w:type="continuationSeparator" w:id="0">
    <w:p w14:paraId="1BAB5DA1" w14:textId="77777777" w:rsidR="00F44D1A" w:rsidRDefault="00F44D1A" w:rsidP="00BF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8631" w14:textId="74CC215B" w:rsidR="00BF35F3" w:rsidRDefault="00F44D1A">
    <w:pPr>
      <w:pStyle w:val="En-tte"/>
    </w:pPr>
    <w:r>
      <w:rPr>
        <w:noProof/>
      </w:rPr>
      <w:pict w14:anchorId="63C41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221954"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8A65" w14:textId="43E02DAD" w:rsidR="00BF35F3" w:rsidRDefault="00F44D1A">
    <w:pPr>
      <w:pStyle w:val="En-tte"/>
    </w:pPr>
    <w:r>
      <w:rPr>
        <w:noProof/>
      </w:rPr>
      <w:pict w14:anchorId="7C1B7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221955"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CE29" w14:textId="1DA8B60D" w:rsidR="00BF35F3" w:rsidRDefault="00F44D1A">
    <w:pPr>
      <w:pStyle w:val="En-tte"/>
    </w:pPr>
    <w:r>
      <w:rPr>
        <w:noProof/>
      </w:rPr>
      <w:pict w14:anchorId="3A8BB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221953"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fill opacity=".5"/>
          <v:textpath style="font-family:&quot;Calibri&quot;;font-size:1pt" string="NE PAS IMPRIM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57CA"/>
    <w:multiLevelType w:val="hybridMultilevel"/>
    <w:tmpl w:val="0A14036E"/>
    <w:lvl w:ilvl="0" w:tplc="BBC61962">
      <w:numFmt w:val="bullet"/>
      <w:lvlText w:val=""/>
      <w:lvlJc w:val="left"/>
      <w:pPr>
        <w:ind w:left="1068" w:hanging="360"/>
      </w:pPr>
      <w:rPr>
        <w:rFonts w:ascii="Wingdings" w:eastAsia="MS Mincho" w:hAnsi="Wingdings" w:cstheme="minorHAns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474022F7"/>
    <w:multiLevelType w:val="hybridMultilevel"/>
    <w:tmpl w:val="BF3AAF00"/>
    <w:lvl w:ilvl="0" w:tplc="D02A8CB0">
      <w:numFmt w:val="bullet"/>
      <w:lvlText w:val="-"/>
      <w:lvlJc w:val="left"/>
      <w:pPr>
        <w:ind w:left="720" w:hanging="360"/>
      </w:pPr>
      <w:rPr>
        <w:rFonts w:ascii="Calibri" w:eastAsia="Times New Roman" w:hAnsi="Calibri" w:cs="Calibri" w:hint="default"/>
        <w:color w:val="7030A0"/>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55B1A95"/>
    <w:multiLevelType w:val="hybridMultilevel"/>
    <w:tmpl w:val="0EA09606"/>
    <w:lvl w:ilvl="0" w:tplc="3ADA2350">
      <w:start w:val="1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1620210"/>
    <w:multiLevelType w:val="hybridMultilevel"/>
    <w:tmpl w:val="FF4ED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E01B4C"/>
    <w:multiLevelType w:val="hybridMultilevel"/>
    <w:tmpl w:val="98CAF6C6"/>
    <w:lvl w:ilvl="0" w:tplc="8900615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66"/>
    <w:rsid w:val="00026494"/>
    <w:rsid w:val="000C71BD"/>
    <w:rsid w:val="000C72A9"/>
    <w:rsid w:val="001616A1"/>
    <w:rsid w:val="001C665A"/>
    <w:rsid w:val="002621BC"/>
    <w:rsid w:val="00283BDB"/>
    <w:rsid w:val="00297B4B"/>
    <w:rsid w:val="002B1CF2"/>
    <w:rsid w:val="002D2951"/>
    <w:rsid w:val="003B33F1"/>
    <w:rsid w:val="00437D98"/>
    <w:rsid w:val="00456AD6"/>
    <w:rsid w:val="004660AC"/>
    <w:rsid w:val="0047791C"/>
    <w:rsid w:val="00506D03"/>
    <w:rsid w:val="00592831"/>
    <w:rsid w:val="005A3CD7"/>
    <w:rsid w:val="005A4C13"/>
    <w:rsid w:val="005E52C7"/>
    <w:rsid w:val="00676C31"/>
    <w:rsid w:val="00691512"/>
    <w:rsid w:val="007D0E72"/>
    <w:rsid w:val="00802519"/>
    <w:rsid w:val="008153D6"/>
    <w:rsid w:val="00933A35"/>
    <w:rsid w:val="00962D2E"/>
    <w:rsid w:val="00993364"/>
    <w:rsid w:val="009A4109"/>
    <w:rsid w:val="009C3266"/>
    <w:rsid w:val="009D6F8C"/>
    <w:rsid w:val="00AD7AE6"/>
    <w:rsid w:val="00AF3429"/>
    <w:rsid w:val="00B078B2"/>
    <w:rsid w:val="00BA163C"/>
    <w:rsid w:val="00BF2FD0"/>
    <w:rsid w:val="00BF35F3"/>
    <w:rsid w:val="00BF726D"/>
    <w:rsid w:val="00C31E3C"/>
    <w:rsid w:val="00C4183F"/>
    <w:rsid w:val="00C61A52"/>
    <w:rsid w:val="00D07F57"/>
    <w:rsid w:val="00D42233"/>
    <w:rsid w:val="00D57487"/>
    <w:rsid w:val="00D87EFB"/>
    <w:rsid w:val="00E14257"/>
    <w:rsid w:val="00E466B5"/>
    <w:rsid w:val="00EB1A46"/>
    <w:rsid w:val="00EC011B"/>
    <w:rsid w:val="00EC2DE7"/>
    <w:rsid w:val="00F173BB"/>
    <w:rsid w:val="00F44D1A"/>
    <w:rsid w:val="00FA3BC9"/>
    <w:rsid w:val="00FD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1D6935"/>
  <w15:chartTrackingRefBased/>
  <w15:docId w15:val="{0E6DBDB7-946C-4658-A9C1-EBC1F586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66"/>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3266"/>
    <w:rPr>
      <w:color w:val="0563C1" w:themeColor="hyperlink"/>
      <w:u w:val="single"/>
    </w:rPr>
  </w:style>
  <w:style w:type="paragraph" w:styleId="Paragraphedeliste">
    <w:name w:val="List Paragraph"/>
    <w:basedOn w:val="Normal"/>
    <w:uiPriority w:val="34"/>
    <w:qFormat/>
    <w:rsid w:val="009C3266"/>
    <w:pPr>
      <w:ind w:left="720"/>
      <w:contextualSpacing/>
    </w:pPr>
  </w:style>
  <w:style w:type="paragraph" w:styleId="Textedebulles">
    <w:name w:val="Balloon Text"/>
    <w:basedOn w:val="Normal"/>
    <w:link w:val="TextedebullesCar"/>
    <w:uiPriority w:val="99"/>
    <w:semiHidden/>
    <w:unhideWhenUsed/>
    <w:rsid w:val="00D87E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7EFB"/>
    <w:rPr>
      <w:rFonts w:ascii="Segoe UI" w:eastAsiaTheme="minorEastAsia" w:hAnsi="Segoe UI" w:cs="Segoe UI"/>
      <w:sz w:val="18"/>
      <w:szCs w:val="18"/>
      <w:lang w:eastAsia="fr-FR"/>
    </w:rPr>
  </w:style>
  <w:style w:type="character" w:styleId="Marquedecommentaire">
    <w:name w:val="annotation reference"/>
    <w:basedOn w:val="Policepardfaut"/>
    <w:uiPriority w:val="99"/>
    <w:semiHidden/>
    <w:unhideWhenUsed/>
    <w:rsid w:val="00D87EFB"/>
    <w:rPr>
      <w:sz w:val="16"/>
      <w:szCs w:val="16"/>
    </w:rPr>
  </w:style>
  <w:style w:type="paragraph" w:styleId="Commentaire">
    <w:name w:val="annotation text"/>
    <w:basedOn w:val="Normal"/>
    <w:link w:val="CommentaireCar"/>
    <w:uiPriority w:val="99"/>
    <w:semiHidden/>
    <w:unhideWhenUsed/>
    <w:rsid w:val="00D87EFB"/>
    <w:rPr>
      <w:sz w:val="20"/>
      <w:szCs w:val="20"/>
    </w:rPr>
  </w:style>
  <w:style w:type="character" w:customStyle="1" w:styleId="CommentaireCar">
    <w:name w:val="Commentaire Car"/>
    <w:basedOn w:val="Policepardfaut"/>
    <w:link w:val="Commentaire"/>
    <w:uiPriority w:val="99"/>
    <w:semiHidden/>
    <w:rsid w:val="00D87EFB"/>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87EFB"/>
    <w:rPr>
      <w:b/>
      <w:bCs/>
    </w:rPr>
  </w:style>
  <w:style w:type="character" w:customStyle="1" w:styleId="ObjetducommentaireCar">
    <w:name w:val="Objet du commentaire Car"/>
    <w:basedOn w:val="CommentaireCar"/>
    <w:link w:val="Objetducommentaire"/>
    <w:uiPriority w:val="99"/>
    <w:semiHidden/>
    <w:rsid w:val="00D87EFB"/>
    <w:rPr>
      <w:rFonts w:eastAsiaTheme="minorEastAsia"/>
      <w:b/>
      <w:bCs/>
      <w:sz w:val="20"/>
      <w:szCs w:val="20"/>
      <w:lang w:eastAsia="fr-FR"/>
    </w:rPr>
  </w:style>
  <w:style w:type="paragraph" w:styleId="Rvision">
    <w:name w:val="Revision"/>
    <w:hidden/>
    <w:uiPriority w:val="99"/>
    <w:semiHidden/>
    <w:rsid w:val="003B33F1"/>
    <w:pPr>
      <w:spacing w:after="0" w:line="240" w:lineRule="auto"/>
    </w:pPr>
    <w:rPr>
      <w:rFonts w:eastAsiaTheme="minorEastAsia"/>
      <w:sz w:val="24"/>
      <w:szCs w:val="24"/>
      <w:lang w:eastAsia="fr-FR"/>
    </w:rPr>
  </w:style>
  <w:style w:type="character" w:customStyle="1" w:styleId="Mentionnonrsolue1">
    <w:name w:val="Mention non résolue1"/>
    <w:basedOn w:val="Policepardfaut"/>
    <w:uiPriority w:val="99"/>
    <w:semiHidden/>
    <w:unhideWhenUsed/>
    <w:rsid w:val="00E14257"/>
    <w:rPr>
      <w:color w:val="605E5C"/>
      <w:shd w:val="clear" w:color="auto" w:fill="E1DFDD"/>
    </w:rPr>
  </w:style>
  <w:style w:type="paragraph" w:styleId="En-tte">
    <w:name w:val="header"/>
    <w:basedOn w:val="Normal"/>
    <w:link w:val="En-tteCar"/>
    <w:uiPriority w:val="99"/>
    <w:unhideWhenUsed/>
    <w:rsid w:val="00BF35F3"/>
    <w:pPr>
      <w:tabs>
        <w:tab w:val="center" w:pos="4536"/>
        <w:tab w:val="right" w:pos="9072"/>
      </w:tabs>
    </w:pPr>
  </w:style>
  <w:style w:type="character" w:customStyle="1" w:styleId="En-tteCar">
    <w:name w:val="En-tête Car"/>
    <w:basedOn w:val="Policepardfaut"/>
    <w:link w:val="En-tte"/>
    <w:uiPriority w:val="99"/>
    <w:rsid w:val="00BF35F3"/>
    <w:rPr>
      <w:rFonts w:eastAsiaTheme="minorEastAsia"/>
      <w:sz w:val="24"/>
      <w:szCs w:val="24"/>
      <w:lang w:eastAsia="fr-FR"/>
    </w:rPr>
  </w:style>
  <w:style w:type="paragraph" w:styleId="Pieddepage">
    <w:name w:val="footer"/>
    <w:basedOn w:val="Normal"/>
    <w:link w:val="PieddepageCar"/>
    <w:uiPriority w:val="99"/>
    <w:unhideWhenUsed/>
    <w:rsid w:val="00BF35F3"/>
    <w:pPr>
      <w:tabs>
        <w:tab w:val="center" w:pos="4536"/>
        <w:tab w:val="right" w:pos="9072"/>
      </w:tabs>
    </w:pPr>
  </w:style>
  <w:style w:type="character" w:customStyle="1" w:styleId="PieddepageCar">
    <w:name w:val="Pied de page Car"/>
    <w:basedOn w:val="Policepardfaut"/>
    <w:link w:val="Pieddepage"/>
    <w:uiPriority w:val="99"/>
    <w:rsid w:val="00BF35F3"/>
    <w:rPr>
      <w:rFonts w:eastAsiaTheme="minorEastAsia"/>
      <w:sz w:val="24"/>
      <w:szCs w:val="24"/>
      <w:lang w:eastAsia="fr-FR"/>
    </w:rPr>
  </w:style>
  <w:style w:type="character" w:styleId="Lienhypertextesuivivisit">
    <w:name w:val="FollowedHyperlink"/>
    <w:basedOn w:val="Policepardfaut"/>
    <w:uiPriority w:val="99"/>
    <w:semiHidden/>
    <w:unhideWhenUsed/>
    <w:rsid w:val="00C31E3C"/>
    <w:rPr>
      <w:color w:val="954F72" w:themeColor="followedHyperlink"/>
      <w:u w:val="single"/>
    </w:rPr>
  </w:style>
  <w:style w:type="paragraph" w:styleId="Notedefin">
    <w:name w:val="endnote text"/>
    <w:basedOn w:val="Normal"/>
    <w:link w:val="NotedefinCar"/>
    <w:uiPriority w:val="99"/>
    <w:semiHidden/>
    <w:unhideWhenUsed/>
    <w:rsid w:val="0047791C"/>
    <w:rPr>
      <w:sz w:val="20"/>
      <w:szCs w:val="20"/>
    </w:rPr>
  </w:style>
  <w:style w:type="character" w:customStyle="1" w:styleId="NotedefinCar">
    <w:name w:val="Note de fin Car"/>
    <w:basedOn w:val="Policepardfaut"/>
    <w:link w:val="Notedefin"/>
    <w:uiPriority w:val="99"/>
    <w:semiHidden/>
    <w:rsid w:val="0047791C"/>
    <w:rPr>
      <w:rFonts w:eastAsiaTheme="minorEastAsia"/>
      <w:sz w:val="20"/>
      <w:szCs w:val="20"/>
      <w:lang w:eastAsia="fr-FR"/>
    </w:rPr>
  </w:style>
  <w:style w:type="character" w:styleId="Appeldenotedefin">
    <w:name w:val="endnote reference"/>
    <w:basedOn w:val="Policepardfaut"/>
    <w:uiPriority w:val="99"/>
    <w:semiHidden/>
    <w:unhideWhenUsed/>
    <w:rsid w:val="00477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041">
      <w:bodyDiv w:val="1"/>
      <w:marLeft w:val="0"/>
      <w:marRight w:val="0"/>
      <w:marTop w:val="0"/>
      <w:marBottom w:val="0"/>
      <w:divBdr>
        <w:top w:val="none" w:sz="0" w:space="0" w:color="auto"/>
        <w:left w:val="none" w:sz="0" w:space="0" w:color="auto"/>
        <w:bottom w:val="none" w:sz="0" w:space="0" w:color="auto"/>
        <w:right w:val="none" w:sz="0" w:space="0" w:color="auto"/>
      </w:divBdr>
    </w:div>
    <w:div w:id="11333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sitions.bnf.fr/presse/grand/pre_25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D6CCF-B131-4035-A350-D0A6CF79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963</Words>
  <Characters>5297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Beillard</dc:creator>
  <cp:keywords/>
  <dc:description/>
  <cp:lastModifiedBy>Pascal Lalmy</cp:lastModifiedBy>
  <cp:revision>4</cp:revision>
  <dcterms:created xsi:type="dcterms:W3CDTF">2020-04-07T09:40:00Z</dcterms:created>
  <dcterms:modified xsi:type="dcterms:W3CDTF">2020-04-07T19:20:00Z</dcterms:modified>
</cp:coreProperties>
</file>